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61DB" w:rsidRDefault="00913B71">
      <w:pPr>
        <w:pStyle w:val="Standard"/>
        <w:rPr>
          <w:rFonts w:hint="eastAsia"/>
          <w:b/>
          <w:bCs/>
          <w:sz w:val="28"/>
          <w:szCs w:val="28"/>
        </w:rPr>
      </w:pPr>
      <w:r>
        <w:rPr>
          <w:b/>
          <w:bCs/>
          <w:sz w:val="28"/>
          <w:szCs w:val="28"/>
        </w:rPr>
        <w:t>Zdeněk Rydygr - ZLÁ LÉTA</w:t>
      </w:r>
    </w:p>
    <w:p w:rsidR="00B061DB" w:rsidRDefault="00913B71">
      <w:pPr>
        <w:pStyle w:val="Standard"/>
        <w:rPr>
          <w:rFonts w:hint="eastAsia"/>
        </w:rPr>
      </w:pPr>
      <w:r>
        <w:t>(recenze knihy o životě zákupských Němců mezi lety 1918 a 1946)</w:t>
      </w:r>
    </w:p>
    <w:p w:rsidR="00B061DB" w:rsidRDefault="00B061DB">
      <w:pPr>
        <w:pStyle w:val="Standard"/>
        <w:rPr>
          <w:rFonts w:hint="eastAsia"/>
        </w:rPr>
      </w:pPr>
    </w:p>
    <w:p w:rsidR="00B061DB" w:rsidRDefault="00913B71">
      <w:pPr>
        <w:pStyle w:val="Standard"/>
        <w:rPr>
          <w:rFonts w:hint="eastAsia"/>
        </w:rPr>
      </w:pPr>
      <w:r>
        <w:t xml:space="preserve">Autor se pokusil v kontextu republikových i celoevropských událostí shrnout téma spolužití </w:t>
      </w:r>
      <w:r>
        <w:t>dvou národů, Čechů a Němců, v jednom okrese bývalého sudetského pohraničí. Kniha začíná koncem rakouského císařství, nese se přes klady i zápory první republiky, ničivá léta druhé světové války až po poválečná „účtování“. Mimo autentických vzpomínek pamětn</w:t>
      </w:r>
      <w:r>
        <w:t>íků z obou stran, z nichž mnozí o této době doposud tak otevřeně nemluvili, se autor snaží osvětlit některé příčiny vzájemného odcizení až po nepřátelství obou národů. Jeho důsledkem bylo, že 3300 zákupských Němců, kteří se tu přes šest století vedle Čechů</w:t>
      </w:r>
      <w:r>
        <w:t xml:space="preserve"> rodili, žili a umírali, čekal v letech 1945-1946 transfer a nucený odchod. Samostatnou část publikace tvoří tabulky a seznamy spolu s některými dosud neznámými dokumenty a fotografiemi.</w:t>
      </w:r>
    </w:p>
    <w:p w:rsidR="00B061DB" w:rsidRDefault="00B061DB">
      <w:pPr>
        <w:pStyle w:val="Standard"/>
        <w:rPr>
          <w:rFonts w:hint="eastAsia"/>
        </w:rPr>
      </w:pPr>
    </w:p>
    <w:p w:rsidR="00B061DB" w:rsidRDefault="00913B71">
      <w:pPr>
        <w:pStyle w:val="Standard"/>
        <w:jc w:val="both"/>
        <w:rPr>
          <w:rFonts w:ascii="Times New Roman" w:hAnsi="Times New Roman"/>
        </w:rPr>
      </w:pPr>
      <w:r>
        <w:rPr>
          <w:rFonts w:ascii="Times New Roman" w:hAnsi="Times New Roman"/>
        </w:rPr>
        <w:t>P</w:t>
      </w:r>
      <w:r>
        <w:rPr>
          <w:rFonts w:ascii="Times New Roman" w:hAnsi="Times New Roman"/>
        </w:rPr>
        <w:t>očátkem  roku  1945  byly  v  odtržených  sudetských  územích  a Pr</w:t>
      </w:r>
      <w:r>
        <w:rPr>
          <w:rFonts w:ascii="Times New Roman" w:hAnsi="Times New Roman"/>
        </w:rPr>
        <w:t>otektorátu Böhmen und Mähren asi 3 miliony místních Němců a stovky tisíc utečenců německé národnosti z území obsazených Rudou armádou. Z tohoto množství asi 300 tisíc osob uteklo do 9. května mimo území předmnichovské republiky,  z   nich však  20  až 30 t</w:t>
      </w:r>
      <w:r>
        <w:rPr>
          <w:rFonts w:ascii="Times New Roman" w:hAnsi="Times New Roman"/>
        </w:rPr>
        <w:t>isíc  zahynulo   během   závěrečných bojů  2. světové války. Na základě zvláštních dekretů prozatímní vlády, podepsaných presidentem Benešem a následně pak schválených novým poválečným parlamentem byl „kolaborantům a zrádcům“ zabaven majetek. Sudetští Němc</w:t>
      </w:r>
      <w:r>
        <w:rPr>
          <w:rFonts w:ascii="Times New Roman" w:hAnsi="Times New Roman"/>
        </w:rPr>
        <w:t>i byli do od května do 2. srpna 1945 vysídlováni většinou československou armádou a lite</w:t>
      </w:r>
      <w:r w:rsidR="00AF43AB">
        <w:rPr>
          <w:rFonts w:ascii="Times New Roman" w:hAnsi="Times New Roman"/>
        </w:rPr>
        <w:t>ratura mluví o „divokém vyhánění</w:t>
      </w:r>
      <w:r>
        <w:rPr>
          <w:rFonts w:ascii="Times New Roman" w:hAnsi="Times New Roman"/>
        </w:rPr>
        <w:t>“ - odhady mluví o 15 až 30 tisících obětech z celkových 450 000 osob. Po 2. srpnu byli s požehnáním Postupimské konference již „vysídlo</w:t>
      </w:r>
      <w:r>
        <w:rPr>
          <w:rFonts w:ascii="Times New Roman" w:hAnsi="Times New Roman"/>
        </w:rPr>
        <w:t>váni“ do Německa.</w:t>
      </w:r>
      <w:r>
        <w:rPr>
          <w:rFonts w:ascii="Times New Roman" w:hAnsi="Times New Roman"/>
          <w:i/>
          <w:iCs/>
        </w:rPr>
        <w:t xml:space="preserve"> </w:t>
      </w:r>
      <w:r>
        <w:rPr>
          <w:rFonts w:ascii="Times New Roman" w:hAnsi="Times New Roman"/>
        </w:rPr>
        <w:t>P</w:t>
      </w:r>
      <w:r>
        <w:rPr>
          <w:rFonts w:ascii="Times New Roman" w:hAnsi="Times New Roman"/>
        </w:rPr>
        <w:t>řed vlastním „odsunem“ byli českoslovenští sudetští Němci internováni ve zvláštních táborech.  V  nich  bylo 5596 osob zavražděno, 3411 osob spáchalo sebevraždu, 6615 osob  zemřelo   na nemoci  a 1481  osob  zemřelo při transportu. Podle</w:t>
      </w:r>
      <w:r>
        <w:rPr>
          <w:rFonts w:ascii="Times New Roman" w:hAnsi="Times New Roman"/>
        </w:rPr>
        <w:t xml:space="preserve"> Tomáše Staňka (Persekuce 1945) zůstává 287169 případů nevysvětleno, k 166565 osobám neexistují žádné údaje.</w:t>
      </w:r>
    </w:p>
    <w:p w:rsidR="00B061DB" w:rsidRDefault="00913B71">
      <w:pPr>
        <w:pStyle w:val="Standard"/>
        <w:jc w:val="both"/>
        <w:rPr>
          <w:rFonts w:ascii="Times New Roman" w:hAnsi="Times New Roman"/>
        </w:rPr>
      </w:pPr>
      <w:r>
        <w:rPr>
          <w:rFonts w:ascii="Times New Roman" w:hAnsi="Times New Roman"/>
        </w:rPr>
        <w:t xml:space="preserve">Od srpna </w:t>
      </w:r>
      <w:r>
        <w:rPr>
          <w:rFonts w:ascii="Times New Roman" w:hAnsi="Times New Roman"/>
        </w:rPr>
        <w:t>1945 do 1. l</w:t>
      </w:r>
      <w:r>
        <w:rPr>
          <w:rFonts w:ascii="Times New Roman" w:hAnsi="Times New Roman"/>
        </w:rPr>
        <w:t>istopadu 1946 tedy probíhal „organizovaný odsun“, kdy bylo vyvezeno z území republiky 2 170 598 československých sudetských Ně</w:t>
      </w:r>
      <w:r>
        <w:rPr>
          <w:rFonts w:ascii="Times New Roman" w:hAnsi="Times New Roman"/>
        </w:rPr>
        <w:t>mců. Uvedená čísla byla předložena koncem roku 1946 presidentu Benešovi. Německé prameny uvádějí, že bylo vyhnáno nebo přitom zahynulo až 3 miliony 300 tisíc sudetských Němců. Na československém území vzniklo 1 215 internačních táborů, 846 pracovních a kár</w:t>
      </w:r>
      <w:r>
        <w:rPr>
          <w:rFonts w:ascii="Times New Roman" w:hAnsi="Times New Roman"/>
        </w:rPr>
        <w:t>ných středisek a 215 věznic, kterými prošlo asi 350 tisíc osob. Těm bylo po odpykání trestů povoleno vystěhování do Německa. V Československu pak zbylo asi 250 000 Němců. Tito „neodsunutí“ Němci včetně rodinných příslušníků byli většinou nepostradatelní pr</w:t>
      </w:r>
      <w:r>
        <w:rPr>
          <w:rFonts w:ascii="Times New Roman" w:hAnsi="Times New Roman"/>
        </w:rPr>
        <w:t>o československý průmysl. Ze 100 tisíc Němců, kteří podléhali pracovní povinnosti, jich pracovalo 58 tisíc v průmyslu v po</w:t>
      </w:r>
      <w:r w:rsidR="00AF43AB">
        <w:rPr>
          <w:rFonts w:ascii="Times New Roman" w:hAnsi="Times New Roman"/>
        </w:rPr>
        <w:t xml:space="preserve">hraničí a 16 tisíc v  báňském  </w:t>
      </w:r>
      <w:r>
        <w:rPr>
          <w:rFonts w:ascii="Times New Roman" w:hAnsi="Times New Roman"/>
        </w:rPr>
        <w:t>průmyslu.    Byli  však  lidmi  druhé  kategorie,  protože  většina neměla čsl. občanství. Až teprve n</w:t>
      </w:r>
      <w:r>
        <w:rPr>
          <w:rFonts w:ascii="Times New Roman" w:hAnsi="Times New Roman"/>
        </w:rPr>
        <w:t>ěkolik právních norem vydaných v letech 1948 – 1950 cestu k získání čsl. občanství Němcům postupně usnadnilo. Ti, kteří jej za války ztratili a dosud žili v ČSR bez státní pří</w:t>
      </w:r>
      <w:r w:rsidR="00AF43AB">
        <w:rPr>
          <w:rFonts w:ascii="Times New Roman" w:hAnsi="Times New Roman"/>
        </w:rPr>
        <w:t>slušnosti, o něj mohli individuá</w:t>
      </w:r>
      <w:r>
        <w:rPr>
          <w:rFonts w:ascii="Times New Roman" w:hAnsi="Times New Roman"/>
        </w:rPr>
        <w:t>lně zažádat. Ani získání občanství jim však nezar</w:t>
      </w:r>
      <w:r>
        <w:rPr>
          <w:rFonts w:ascii="Times New Roman" w:hAnsi="Times New Roman"/>
        </w:rPr>
        <w:t>učilo vrácení již zabaveného majetku (mohli si jej ale koupit včetně domů, pokud byly k dostání – pozn. aut.). Až zákon č. 34/1953 Sb. s platností od 7. května 1953 kolektivně a jednorázově udělil čsl. občanství všem Němcům, kteří státní občanství dosud ne</w:t>
      </w:r>
      <w:r>
        <w:rPr>
          <w:rFonts w:ascii="Times New Roman" w:hAnsi="Times New Roman"/>
        </w:rPr>
        <w:t>získali. Úbytek Němců však nadále pokračoval přirozenými úmrtími přestárlých osob, slučováním rodin či umožněním vystěhování k příbuzným. V roce 1950 se k německé národnosti přihlásilo již jen 165 117 osob, v roce 1961 pouze 140 402 osob (1% obyvatelstva!)</w:t>
      </w:r>
      <w:r>
        <w:rPr>
          <w:rFonts w:ascii="Times New Roman" w:hAnsi="Times New Roman"/>
        </w:rPr>
        <w:t xml:space="preserve"> a v roce 1980 jenom 61 129 osob. V roce 2001 to bylo pouhopouhýc</w:t>
      </w:r>
      <w:r w:rsidR="00AF43AB">
        <w:rPr>
          <w:rFonts w:ascii="Times New Roman" w:hAnsi="Times New Roman"/>
        </w:rPr>
        <w:t xml:space="preserve">h 39 106 osob, to znamená méně než třeba Poláků.   Po válce </w:t>
      </w:r>
      <w:r>
        <w:rPr>
          <w:rFonts w:ascii="Times New Roman" w:hAnsi="Times New Roman"/>
        </w:rPr>
        <w:t>bylo popraveno 730 válečn</w:t>
      </w:r>
      <w:r w:rsidR="00AF43AB">
        <w:rPr>
          <w:rFonts w:ascii="Times New Roman" w:hAnsi="Times New Roman"/>
        </w:rPr>
        <w:t>ých zločinců a zrádců v rámci t</w:t>
      </w:r>
      <w:r>
        <w:rPr>
          <w:rFonts w:ascii="Times New Roman" w:hAnsi="Times New Roman"/>
        </w:rPr>
        <w:t>zv. retribučního soudnictví, z toho 67 žen (většina z nich byla age</w:t>
      </w:r>
      <w:r>
        <w:rPr>
          <w:rFonts w:ascii="Times New Roman" w:hAnsi="Times New Roman"/>
        </w:rPr>
        <w:t>ntkami gestapa, udavačkami a část dozorkyněmi koncentračních táborů).</w:t>
      </w:r>
    </w:p>
    <w:p w:rsidR="00B061DB" w:rsidRDefault="00B061DB">
      <w:pPr>
        <w:pStyle w:val="Standard"/>
        <w:rPr>
          <w:rFonts w:hint="eastAsia"/>
        </w:rPr>
      </w:pPr>
    </w:p>
    <w:p w:rsidR="00B061DB" w:rsidRDefault="00913B71">
      <w:pPr>
        <w:pStyle w:val="Standard"/>
        <w:jc w:val="both"/>
        <w:rPr>
          <w:rFonts w:ascii="Times New Roman" w:hAnsi="Times New Roman"/>
          <w:color w:val="000000"/>
        </w:rPr>
      </w:pPr>
      <w:r>
        <w:rPr>
          <w:rFonts w:ascii="Times New Roman" w:hAnsi="Times New Roman"/>
          <w:color w:val="000000"/>
        </w:rPr>
        <w:t>Po roce 1945 zaniklo v pohraničí 8000 továren a provozů a skončilo 70 000 řemeslníků. Do konce roku 1947 bylo z pohraničí přestěhováno 454 továren a provozů spolu s bezmála 4000 stroji.</w:t>
      </w:r>
      <w:r>
        <w:rPr>
          <w:rFonts w:ascii="Times New Roman" w:hAnsi="Times New Roman"/>
          <w:color w:val="000000"/>
        </w:rPr>
        <w:t xml:space="preserve"> Z toho šlo 117 závodů s 2336 stroji do vnitrozemí Čech a 337 závodů a provozů s 1660 stroji bylo přesunuto na Slovensko. Z 1,5 milionu lidí osidlujících pohraničí bylo 200 000 Slováků, tisíce Romů a asi 260 </w:t>
      </w:r>
      <w:r>
        <w:rPr>
          <w:rFonts w:ascii="Times New Roman" w:hAnsi="Times New Roman"/>
          <w:color w:val="000000"/>
        </w:rPr>
        <w:lastRenderedPageBreak/>
        <w:t>000 Čechů z Volyně, Rumunska a Jugoslávie, vesmě</w:t>
      </w:r>
      <w:r>
        <w:rPr>
          <w:rFonts w:ascii="Times New Roman" w:hAnsi="Times New Roman"/>
          <w:color w:val="000000"/>
        </w:rPr>
        <w:t>s rolníků. Zbylí řemeslníci pak byli následně připraveni o své živnosti po nástupu komunistů k moci v roce 1948.</w:t>
      </w:r>
    </w:p>
    <w:p w:rsidR="00B061DB" w:rsidRDefault="00B061DB">
      <w:pPr>
        <w:pStyle w:val="Standard"/>
        <w:jc w:val="both"/>
        <w:rPr>
          <w:rFonts w:ascii="Times New Roman" w:hAnsi="Times New Roman"/>
        </w:rPr>
      </w:pPr>
    </w:p>
    <w:p w:rsidR="00B061DB" w:rsidRDefault="00913B71">
      <w:pPr>
        <w:pStyle w:val="Standard"/>
        <w:jc w:val="both"/>
        <w:rPr>
          <w:rFonts w:ascii="Times New Roman" w:hAnsi="Times New Roman"/>
        </w:rPr>
      </w:pPr>
      <w:r>
        <w:rPr>
          <w:rFonts w:ascii="Times New Roman" w:hAnsi="Times New Roman"/>
        </w:rPr>
        <w:t>V roce 1950, celých pět let po válce, bylo při sčítání domů a obyvatel zjištěno v Zákupech 289 domů s 1486 obyvateli, v Nových Zákupech 25 dom</w:t>
      </w:r>
      <w:r>
        <w:rPr>
          <w:rFonts w:ascii="Times New Roman" w:hAnsi="Times New Roman"/>
        </w:rPr>
        <w:t>ů se 42 obyvateli, v Božíkově 63 domů s  234 obyvateli. Celá aglomerace měla dohromady 377 domů s 1762 obyvateli, což bylo 93% počtu domů a 72% obyvatelstva z roku 1930.</w:t>
      </w:r>
    </w:p>
    <w:p w:rsidR="00D92A4E" w:rsidRDefault="00D92A4E">
      <w:pPr>
        <w:pStyle w:val="Standard"/>
        <w:jc w:val="both"/>
        <w:rPr>
          <w:rFonts w:ascii="Times New Roman" w:hAnsi="Times New Roman"/>
        </w:rPr>
      </w:pPr>
    </w:p>
    <w:p w:rsidR="00D92A4E" w:rsidRDefault="00383A44">
      <w:pPr>
        <w:pStyle w:val="Standard"/>
        <w:jc w:val="both"/>
        <w:rPr>
          <w:rFonts w:ascii="Times New Roman" w:hAnsi="Times New Roman"/>
        </w:rPr>
      </w:pPr>
      <w:r w:rsidRPr="00383A44">
        <w:rPr>
          <w:rFonts w:ascii="Times New Roman" w:hAnsi="Times New Roman"/>
          <w:noProof/>
          <w:lang w:eastAsia="cs-CZ" w:bidi="ar-SA"/>
        </w:rPr>
        <w:drawing>
          <wp:inline distT="0" distB="0" distL="0" distR="0">
            <wp:extent cx="6120130" cy="4041131"/>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130" cy="4041131"/>
                    </a:xfrm>
                    <a:prstGeom prst="rect">
                      <a:avLst/>
                    </a:prstGeom>
                    <a:noFill/>
                    <a:ln>
                      <a:noFill/>
                    </a:ln>
                  </pic:spPr>
                </pic:pic>
              </a:graphicData>
            </a:graphic>
          </wp:inline>
        </w:drawing>
      </w:r>
    </w:p>
    <w:p w:rsidR="00383A44" w:rsidRDefault="00383A44">
      <w:pPr>
        <w:pStyle w:val="Standard"/>
        <w:jc w:val="both"/>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Návštěva císaře Františka Josefa I. roku 1899 v</w:t>
      </w:r>
      <w:r>
        <w:rPr>
          <w:rFonts w:ascii="TimesNewRomanPS-ItalicMT" w:hAnsi="TimesNewRomanPS-ItalicMT" w:cs="TimesNewRomanPS-ItalicMT"/>
          <w:i/>
          <w:iCs/>
          <w:kern w:val="0"/>
          <w:sz w:val="30"/>
          <w:szCs w:val="30"/>
          <w:lang w:bidi="ar-SA"/>
        </w:rPr>
        <w:t> </w:t>
      </w:r>
      <w:r>
        <w:rPr>
          <w:rFonts w:ascii="TimesNewRomanPS-ItalicMT" w:hAnsi="TimesNewRomanPS-ItalicMT" w:cs="TimesNewRomanPS-ItalicMT"/>
          <w:i/>
          <w:iCs/>
          <w:kern w:val="0"/>
          <w:sz w:val="30"/>
          <w:szCs w:val="30"/>
          <w:lang w:bidi="ar-SA"/>
        </w:rPr>
        <w:t>Zákupech</w:t>
      </w:r>
    </w:p>
    <w:p w:rsidR="00383A44" w:rsidRDefault="00383A44">
      <w:pPr>
        <w:pStyle w:val="Standard"/>
        <w:jc w:val="both"/>
        <w:rPr>
          <w:rFonts w:ascii="TimesNewRomanPS-ItalicMT" w:hAnsi="TimesNewRomanPS-ItalicMT" w:cs="TimesNewRomanPS-ItalicMT"/>
          <w:i/>
          <w:iCs/>
          <w:kern w:val="0"/>
          <w:sz w:val="30"/>
          <w:szCs w:val="30"/>
          <w:lang w:bidi="ar-SA"/>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lastRenderedPageBreak/>
        <w:drawing>
          <wp:inline distT="0" distB="0" distL="0" distR="0">
            <wp:extent cx="6120130" cy="4014262"/>
            <wp:effectExtent l="0" t="0" r="0" b="571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4014262"/>
                    </a:xfrm>
                    <a:prstGeom prst="rect">
                      <a:avLst/>
                    </a:prstGeom>
                    <a:noFill/>
                    <a:ln>
                      <a:noFill/>
                    </a:ln>
                  </pic:spPr>
                </pic:pic>
              </a:graphicData>
            </a:graphic>
          </wp:inline>
        </w:drawing>
      </w:r>
    </w:p>
    <w:p w:rsidR="00383A44" w:rsidRDefault="00383A44">
      <w:pPr>
        <w:pStyle w:val="Standard"/>
        <w:jc w:val="both"/>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Arcivévoda František Ferdinand d´Este a hraběnka Žofie Chotková (vpravo)</w:t>
      </w:r>
    </w:p>
    <w:p w:rsidR="00383A44" w:rsidRDefault="00383A44">
      <w:pPr>
        <w:pStyle w:val="Standard"/>
        <w:jc w:val="both"/>
        <w:rPr>
          <w:rFonts w:ascii="TimesNewRomanPS-ItalicMT" w:hAnsi="TimesNewRomanPS-ItalicMT" w:cs="TimesNewRomanPS-ItalicMT"/>
          <w:i/>
          <w:iCs/>
          <w:kern w:val="0"/>
          <w:sz w:val="30"/>
          <w:szCs w:val="30"/>
          <w:lang w:bidi="ar-SA"/>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drawing>
          <wp:inline distT="0" distB="0" distL="0" distR="0">
            <wp:extent cx="6120130" cy="3519534"/>
            <wp:effectExtent l="0" t="0" r="0" b="508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3519534"/>
                    </a:xfrm>
                    <a:prstGeom prst="rect">
                      <a:avLst/>
                    </a:prstGeom>
                    <a:noFill/>
                    <a:ln>
                      <a:noFill/>
                    </a:ln>
                  </pic:spPr>
                </pic:pic>
              </a:graphicData>
            </a:graphic>
          </wp:inline>
        </w:drawing>
      </w:r>
    </w:p>
    <w:p w:rsidR="00383A44" w:rsidRDefault="00383A44">
      <w:pPr>
        <w:pStyle w:val="Standard"/>
        <w:jc w:val="both"/>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Lazaret Červeného kříže v zákupském zámku</w:t>
      </w:r>
    </w:p>
    <w:p w:rsidR="00383A44" w:rsidRDefault="00383A44">
      <w:pPr>
        <w:pStyle w:val="Standard"/>
        <w:jc w:val="both"/>
        <w:rPr>
          <w:rFonts w:ascii="TimesNewRomanPS-ItalicMT" w:hAnsi="TimesNewRomanPS-ItalicMT" w:cs="TimesNewRomanPS-ItalicMT"/>
          <w:i/>
          <w:iCs/>
          <w:kern w:val="0"/>
          <w:sz w:val="30"/>
          <w:szCs w:val="30"/>
          <w:lang w:bidi="ar-SA"/>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lastRenderedPageBreak/>
        <w:drawing>
          <wp:inline distT="0" distB="0" distL="0" distR="0">
            <wp:extent cx="6120130" cy="3732236"/>
            <wp:effectExtent l="0" t="0" r="0" b="190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3732236"/>
                    </a:xfrm>
                    <a:prstGeom prst="rect">
                      <a:avLst/>
                    </a:prstGeom>
                    <a:noFill/>
                    <a:ln>
                      <a:noFill/>
                    </a:ln>
                  </pic:spPr>
                </pic:pic>
              </a:graphicData>
            </a:graphic>
          </wp:inline>
        </w:drawing>
      </w:r>
    </w:p>
    <w:p w:rsidR="00383A44" w:rsidRDefault="00383A44">
      <w:pPr>
        <w:pStyle w:val="Standard"/>
        <w:jc w:val="both"/>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Odhalení pomníku padlým v I. světové válce v</w:t>
      </w:r>
      <w:r>
        <w:rPr>
          <w:rFonts w:ascii="TimesNewRomanPS-ItalicMT" w:hAnsi="TimesNewRomanPS-ItalicMT" w:cs="TimesNewRomanPS-ItalicMT"/>
          <w:i/>
          <w:iCs/>
          <w:kern w:val="0"/>
          <w:sz w:val="30"/>
          <w:szCs w:val="30"/>
          <w:lang w:bidi="ar-SA"/>
        </w:rPr>
        <w:t> </w:t>
      </w:r>
      <w:r>
        <w:rPr>
          <w:rFonts w:ascii="TimesNewRomanPS-ItalicMT" w:hAnsi="TimesNewRomanPS-ItalicMT" w:cs="TimesNewRomanPS-ItalicMT"/>
          <w:i/>
          <w:iCs/>
          <w:kern w:val="0"/>
          <w:sz w:val="30"/>
          <w:szCs w:val="30"/>
          <w:lang w:bidi="ar-SA"/>
        </w:rPr>
        <w:t>Zákupech</w:t>
      </w:r>
    </w:p>
    <w:p w:rsidR="00383A44" w:rsidRDefault="00383A44">
      <w:pPr>
        <w:pStyle w:val="Standard"/>
        <w:jc w:val="both"/>
        <w:rPr>
          <w:rFonts w:ascii="TimesNewRomanPS-ItalicMT" w:hAnsi="TimesNewRomanPS-ItalicMT" w:cs="TimesNewRomanPS-ItalicMT"/>
          <w:i/>
          <w:iCs/>
          <w:kern w:val="0"/>
          <w:sz w:val="30"/>
          <w:szCs w:val="30"/>
          <w:lang w:bidi="ar-SA"/>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drawing>
          <wp:inline distT="0" distB="0" distL="0" distR="0">
            <wp:extent cx="6120130" cy="3802510"/>
            <wp:effectExtent l="0" t="0" r="0" b="762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802510"/>
                    </a:xfrm>
                    <a:prstGeom prst="rect">
                      <a:avLst/>
                    </a:prstGeom>
                    <a:noFill/>
                    <a:ln>
                      <a:noFill/>
                    </a:ln>
                  </pic:spPr>
                </pic:pic>
              </a:graphicData>
            </a:graphic>
          </wp:inline>
        </w:drawing>
      </w:r>
    </w:p>
    <w:p w:rsidR="00383A44" w:rsidRDefault="00383A44">
      <w:pPr>
        <w:pStyle w:val="Standard"/>
        <w:jc w:val="both"/>
        <w:rPr>
          <w:rFonts w:ascii="Times New Roman" w:hAnsi="Times New Roman"/>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lastRenderedPageBreak/>
        <w:drawing>
          <wp:inline distT="0" distB="0" distL="0" distR="0">
            <wp:extent cx="6120130" cy="3557399"/>
            <wp:effectExtent l="0" t="0" r="0" b="508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3557399"/>
                    </a:xfrm>
                    <a:prstGeom prst="rect">
                      <a:avLst/>
                    </a:prstGeom>
                    <a:noFill/>
                    <a:ln>
                      <a:noFill/>
                    </a:ln>
                  </pic:spPr>
                </pic:pic>
              </a:graphicData>
            </a:graphic>
          </wp:inline>
        </w:drawing>
      </w:r>
    </w:p>
    <w:p w:rsidR="00383A44" w:rsidRDefault="00383A44">
      <w:pPr>
        <w:pStyle w:val="Standard"/>
        <w:jc w:val="both"/>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Tělocvična a koupaliště z 30. let v Zákupech, postavené za světové krize</w:t>
      </w:r>
    </w:p>
    <w:p w:rsidR="00383A44" w:rsidRDefault="00383A44">
      <w:pPr>
        <w:pStyle w:val="Standard"/>
        <w:jc w:val="both"/>
        <w:rPr>
          <w:rFonts w:ascii="TimesNewRomanPS-ItalicMT" w:hAnsi="TimesNewRomanPS-ItalicMT" w:cs="TimesNewRomanPS-ItalicMT"/>
          <w:i/>
          <w:iCs/>
          <w:kern w:val="0"/>
          <w:sz w:val="30"/>
          <w:szCs w:val="30"/>
          <w:lang w:bidi="ar-SA"/>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drawing>
          <wp:inline distT="0" distB="0" distL="0" distR="0">
            <wp:extent cx="6120130" cy="4617764"/>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4617764"/>
                    </a:xfrm>
                    <a:prstGeom prst="rect">
                      <a:avLst/>
                    </a:prstGeom>
                    <a:noFill/>
                    <a:ln>
                      <a:noFill/>
                    </a:ln>
                  </pic:spPr>
                </pic:pic>
              </a:graphicData>
            </a:graphic>
          </wp:inline>
        </w:drawing>
      </w:r>
    </w:p>
    <w:p w:rsidR="00383A44" w:rsidRDefault="00383A44">
      <w:pPr>
        <w:pStyle w:val="Standard"/>
        <w:jc w:val="both"/>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Církevní procesí v Zákupech (druhé děvčátko zleva je Hanni Teuner)</w:t>
      </w:r>
    </w:p>
    <w:p w:rsidR="00383A44" w:rsidRDefault="00383A44">
      <w:pPr>
        <w:pStyle w:val="Standard"/>
        <w:jc w:val="both"/>
        <w:rPr>
          <w:rFonts w:ascii="TimesNewRomanPS-ItalicMT" w:hAnsi="TimesNewRomanPS-ItalicMT" w:cs="TimesNewRomanPS-ItalicMT"/>
          <w:i/>
          <w:iCs/>
          <w:kern w:val="0"/>
          <w:sz w:val="30"/>
          <w:szCs w:val="30"/>
          <w:lang w:bidi="ar-SA"/>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lastRenderedPageBreak/>
        <w:drawing>
          <wp:inline distT="0" distB="0" distL="0" distR="0">
            <wp:extent cx="6084570" cy="417322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4173220"/>
                    </a:xfrm>
                    <a:prstGeom prst="rect">
                      <a:avLst/>
                    </a:prstGeom>
                    <a:noFill/>
                    <a:ln>
                      <a:noFill/>
                    </a:ln>
                  </pic:spPr>
                </pic:pic>
              </a:graphicData>
            </a:graphic>
          </wp:inline>
        </w:drawing>
      </w:r>
    </w:p>
    <w:p w:rsidR="00383A44" w:rsidRDefault="00383A44">
      <w:pPr>
        <w:pStyle w:val="Standard"/>
        <w:jc w:val="both"/>
        <w:rPr>
          <w:rFonts w:ascii="Times New Roman" w:hAnsi="Times New Roman"/>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drawing>
          <wp:inline distT="0" distB="0" distL="0" distR="0">
            <wp:extent cx="6120130" cy="429564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295640"/>
                    </a:xfrm>
                    <a:prstGeom prst="rect">
                      <a:avLst/>
                    </a:prstGeom>
                    <a:noFill/>
                    <a:ln>
                      <a:noFill/>
                    </a:ln>
                  </pic:spPr>
                </pic:pic>
              </a:graphicData>
            </a:graphic>
          </wp:inline>
        </w:drawing>
      </w:r>
    </w:p>
    <w:p w:rsidR="00383A44" w:rsidRDefault="00383A44">
      <w:pPr>
        <w:pStyle w:val="Standard"/>
        <w:jc w:val="both"/>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Upomínka na svatý křest Anny Liesel Číhové</w:t>
      </w:r>
    </w:p>
    <w:p w:rsidR="00383A44" w:rsidRDefault="00383A44">
      <w:pPr>
        <w:pStyle w:val="Standard"/>
        <w:jc w:val="both"/>
        <w:rPr>
          <w:rFonts w:ascii="TimesNewRomanPS-ItalicMT" w:hAnsi="TimesNewRomanPS-ItalicMT" w:cs="TimesNewRomanPS-ItalicMT"/>
          <w:i/>
          <w:iCs/>
          <w:kern w:val="0"/>
          <w:sz w:val="30"/>
          <w:szCs w:val="30"/>
          <w:lang w:bidi="ar-SA"/>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lastRenderedPageBreak/>
        <w:drawing>
          <wp:inline distT="0" distB="0" distL="0" distR="0">
            <wp:extent cx="1471524" cy="2158157"/>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81139" cy="2172259"/>
                    </a:xfrm>
                    <a:prstGeom prst="rect">
                      <a:avLst/>
                    </a:prstGeom>
                    <a:noFill/>
                    <a:ln>
                      <a:noFill/>
                    </a:ln>
                  </pic:spPr>
                </pic:pic>
              </a:graphicData>
            </a:graphic>
          </wp:inline>
        </w:drawing>
      </w:r>
      <w:r>
        <w:rPr>
          <w:rFonts w:ascii="Times New Roman" w:hAnsi="Times New Roman"/>
        </w:rPr>
        <w:t xml:space="preserve">  </w:t>
      </w:r>
      <w:r w:rsidRPr="00383A44">
        <w:rPr>
          <w:rFonts w:ascii="Times New Roman" w:hAnsi="Times New Roman"/>
          <w:noProof/>
          <w:lang w:eastAsia="cs-CZ" w:bidi="ar-SA"/>
        </w:rPr>
        <w:drawing>
          <wp:inline distT="0" distB="0" distL="0" distR="0">
            <wp:extent cx="1464773" cy="2151425"/>
            <wp:effectExtent l="0" t="0" r="2540" b="127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79694" cy="2173340"/>
                    </a:xfrm>
                    <a:prstGeom prst="rect">
                      <a:avLst/>
                    </a:prstGeom>
                    <a:noFill/>
                    <a:ln>
                      <a:noFill/>
                    </a:ln>
                  </pic:spPr>
                </pic:pic>
              </a:graphicData>
            </a:graphic>
          </wp:inline>
        </w:drawing>
      </w:r>
      <w:r>
        <w:rPr>
          <w:rFonts w:ascii="Times New Roman" w:hAnsi="Times New Roman"/>
        </w:rPr>
        <w:t xml:space="preserve">  </w:t>
      </w:r>
      <w:r w:rsidRPr="00383A44">
        <w:rPr>
          <w:rFonts w:ascii="Times New Roman" w:hAnsi="Times New Roman"/>
          <w:noProof/>
          <w:lang w:eastAsia="cs-CZ" w:bidi="ar-SA"/>
        </w:rPr>
        <w:drawing>
          <wp:inline distT="0" distB="0" distL="0" distR="0">
            <wp:extent cx="1646786" cy="2140947"/>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5960" cy="2178875"/>
                    </a:xfrm>
                    <a:prstGeom prst="rect">
                      <a:avLst/>
                    </a:prstGeom>
                    <a:noFill/>
                    <a:ln>
                      <a:noFill/>
                    </a:ln>
                  </pic:spPr>
                </pic:pic>
              </a:graphicData>
            </a:graphic>
          </wp:inline>
        </w:drawing>
      </w:r>
    </w:p>
    <w:p w:rsidR="00383A44" w:rsidRDefault="00383A44">
      <w:pPr>
        <w:pStyle w:val="Standard"/>
        <w:jc w:val="both"/>
        <w:rPr>
          <w:rFonts w:ascii="TimesNewRomanPS-ItalicMT" w:hAnsi="TimesNewRomanPS-ItalicMT" w:cs="TimesNewRomanPS-ItalicMT"/>
          <w:i/>
          <w:iCs/>
          <w:kern w:val="0"/>
          <w:sz w:val="28"/>
          <w:szCs w:val="28"/>
          <w:lang w:bidi="ar-SA"/>
        </w:rPr>
      </w:pPr>
      <w:r>
        <w:rPr>
          <w:rFonts w:ascii="TimesNewRomanPS-ItalicMT" w:hAnsi="TimesNewRomanPS-ItalicMT" w:cs="TimesNewRomanPS-ItalicMT"/>
          <w:i/>
          <w:iCs/>
          <w:kern w:val="0"/>
          <w:sz w:val="28"/>
          <w:szCs w:val="28"/>
          <w:lang w:bidi="ar-SA"/>
        </w:rPr>
        <w:t>Zleva: Adolf Hitler s Konrádem Henleinem, Karl Hermann Frank a Ernst Kundt</w:t>
      </w:r>
    </w:p>
    <w:p w:rsidR="00383A44" w:rsidRDefault="00383A44">
      <w:pPr>
        <w:pStyle w:val="Standard"/>
        <w:jc w:val="both"/>
        <w:rPr>
          <w:rFonts w:ascii="TimesNewRomanPS-ItalicMT" w:hAnsi="TimesNewRomanPS-ItalicMT" w:cs="TimesNewRomanPS-ItalicMT"/>
          <w:i/>
          <w:iCs/>
          <w:kern w:val="0"/>
          <w:sz w:val="28"/>
          <w:szCs w:val="28"/>
          <w:lang w:bidi="ar-SA"/>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lastRenderedPageBreak/>
        <w:drawing>
          <wp:inline distT="0" distB="0" distL="0" distR="0">
            <wp:extent cx="6010910" cy="6695440"/>
            <wp:effectExtent l="0" t="0" r="889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10910" cy="6695440"/>
                    </a:xfrm>
                    <a:prstGeom prst="rect">
                      <a:avLst/>
                    </a:prstGeom>
                    <a:noFill/>
                    <a:ln>
                      <a:noFill/>
                    </a:ln>
                  </pic:spPr>
                </pic:pic>
              </a:graphicData>
            </a:graphic>
          </wp:inline>
        </w:drawing>
      </w:r>
    </w:p>
    <w:p w:rsidR="00383A44" w:rsidRDefault="00383A44">
      <w:pPr>
        <w:pStyle w:val="Standard"/>
        <w:jc w:val="both"/>
        <w:rPr>
          <w:rFonts w:ascii="Times New Roman" w:hAnsi="Times New Roman"/>
        </w:rPr>
      </w:pPr>
    </w:p>
    <w:p w:rsidR="00383A44" w:rsidRDefault="00383A44">
      <w:pPr>
        <w:pStyle w:val="Standard"/>
        <w:jc w:val="both"/>
        <w:rPr>
          <w:rFonts w:ascii="Times New Roman" w:hAnsi="Times New Roman"/>
        </w:rPr>
      </w:pPr>
      <w:r w:rsidRPr="00383A44">
        <w:rPr>
          <w:rFonts w:ascii="Times New Roman" w:hAnsi="Times New Roman"/>
          <w:noProof/>
          <w:lang w:eastAsia="cs-CZ" w:bidi="ar-SA"/>
        </w:rPr>
        <w:lastRenderedPageBreak/>
        <w:drawing>
          <wp:inline distT="0" distB="0" distL="0" distR="0">
            <wp:extent cx="5590540" cy="6362065"/>
            <wp:effectExtent l="0" t="0" r="0" b="63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0540" cy="6362065"/>
                    </a:xfrm>
                    <a:prstGeom prst="rect">
                      <a:avLst/>
                    </a:prstGeom>
                    <a:noFill/>
                    <a:ln>
                      <a:noFill/>
                    </a:ln>
                  </pic:spPr>
                </pic:pic>
              </a:graphicData>
            </a:graphic>
          </wp:inline>
        </w:drawing>
      </w:r>
    </w:p>
    <w:p w:rsidR="00383A44" w:rsidRDefault="00383A44" w:rsidP="00383A44">
      <w:pPr>
        <w:widowControl/>
        <w:suppressAutoHyphens w:val="0"/>
        <w:autoSpaceDE w:val="0"/>
        <w:adjustRightInd w:val="0"/>
        <w:textAlignment w:val="auto"/>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Nekvalitní, ale vzácné dobové fotografie vítá</w:t>
      </w:r>
      <w:r>
        <w:rPr>
          <w:rFonts w:ascii="TimesNewRomanPS-ItalicMT" w:hAnsi="TimesNewRomanPS-ItalicMT" w:cs="TimesNewRomanPS-ItalicMT"/>
          <w:i/>
          <w:iCs/>
          <w:kern w:val="0"/>
          <w:sz w:val="30"/>
          <w:szCs w:val="30"/>
          <w:lang w:bidi="ar-SA"/>
        </w:rPr>
        <w:t xml:space="preserve">ní wehrmachtu pod velením pplk. </w:t>
      </w:r>
      <w:r>
        <w:rPr>
          <w:rFonts w:ascii="TimesNewRomanPS-ItalicMT" w:hAnsi="TimesNewRomanPS-ItalicMT" w:cs="TimesNewRomanPS-ItalicMT"/>
          <w:i/>
          <w:iCs/>
          <w:kern w:val="0"/>
          <w:sz w:val="30"/>
          <w:szCs w:val="30"/>
          <w:lang w:bidi="ar-SA"/>
        </w:rPr>
        <w:t>Küsta zákupskými Němci dne 9. října 1938 na Tržním námě</w:t>
      </w:r>
      <w:r>
        <w:rPr>
          <w:rFonts w:ascii="TimesNewRomanPS-ItalicMT" w:hAnsi="TimesNewRomanPS-ItalicMT" w:cs="TimesNewRomanPS-ItalicMT"/>
          <w:i/>
          <w:iCs/>
          <w:kern w:val="0"/>
          <w:sz w:val="30"/>
          <w:szCs w:val="30"/>
          <w:lang w:bidi="ar-SA"/>
        </w:rPr>
        <w:t>stí. Na levém</w:t>
      </w:r>
      <w:r>
        <w:rPr>
          <w:rFonts w:ascii="TimesNewRomanPS-ItalicMT" w:hAnsi="TimesNewRomanPS-ItalicMT" w:cs="TimesNewRomanPS-ItalicMT"/>
          <w:i/>
          <w:iCs/>
          <w:kern w:val="0"/>
          <w:sz w:val="30"/>
          <w:szCs w:val="30"/>
          <w:lang w:bidi="ar-SA"/>
        </w:rPr>
        <w:t>snímku jsou vojáci před hotelem Burg, vpravo zdravice vojenské zástavě př</w:t>
      </w:r>
      <w:r>
        <w:rPr>
          <w:rFonts w:ascii="TimesNewRomanPS-ItalicMT" w:hAnsi="TimesNewRomanPS-ItalicMT" w:cs="TimesNewRomanPS-ItalicMT"/>
          <w:i/>
          <w:iCs/>
          <w:kern w:val="0"/>
          <w:sz w:val="30"/>
          <w:szCs w:val="30"/>
          <w:lang w:bidi="ar-SA"/>
        </w:rPr>
        <w:t>ed</w:t>
      </w:r>
      <w:r>
        <w:rPr>
          <w:rFonts w:ascii="TimesNewRomanPS-ItalicMT" w:hAnsi="TimesNewRomanPS-ItalicMT" w:cs="TimesNewRomanPS-ItalicMT"/>
          <w:i/>
          <w:iCs/>
          <w:kern w:val="0"/>
          <w:sz w:val="30"/>
          <w:szCs w:val="30"/>
          <w:lang w:bidi="ar-SA"/>
        </w:rPr>
        <w:t>slavnostně vyzdobenou továrnou Eduarda Helda ml.</w:t>
      </w:r>
    </w:p>
    <w:p w:rsidR="00977BFA" w:rsidRDefault="00977BFA" w:rsidP="00383A44">
      <w:pPr>
        <w:widowControl/>
        <w:suppressAutoHyphens w:val="0"/>
        <w:autoSpaceDE w:val="0"/>
        <w:adjustRightInd w:val="0"/>
        <w:textAlignment w:val="auto"/>
        <w:rPr>
          <w:rFonts w:ascii="TimesNewRomanPS-ItalicMT" w:hAnsi="TimesNewRomanPS-ItalicMT" w:cs="TimesNewRomanPS-ItalicMT"/>
          <w:i/>
          <w:iCs/>
          <w:kern w:val="0"/>
          <w:sz w:val="30"/>
          <w:szCs w:val="30"/>
          <w:lang w:bidi="ar-SA"/>
        </w:rPr>
      </w:pPr>
    </w:p>
    <w:p w:rsidR="00977BFA" w:rsidRDefault="00977BFA" w:rsidP="00383A44">
      <w:pPr>
        <w:widowControl/>
        <w:suppressAutoHyphens w:val="0"/>
        <w:autoSpaceDE w:val="0"/>
        <w:adjustRightInd w:val="0"/>
        <w:textAlignment w:val="auto"/>
        <w:rPr>
          <w:rFonts w:ascii="TimesNewRomanPS-ItalicMT" w:hAnsi="TimesNewRomanPS-ItalicMT" w:cs="TimesNewRomanPS-ItalicMT"/>
          <w:i/>
          <w:iCs/>
          <w:kern w:val="0"/>
          <w:sz w:val="30"/>
          <w:szCs w:val="30"/>
          <w:lang w:bidi="ar-SA"/>
        </w:rPr>
      </w:pPr>
    </w:p>
    <w:p w:rsidR="00383A44" w:rsidRDefault="00977BFA" w:rsidP="00383A44">
      <w:pPr>
        <w:pStyle w:val="Standard"/>
        <w:jc w:val="both"/>
        <w:rPr>
          <w:rFonts w:ascii="Times New Roman" w:hAnsi="Times New Roman"/>
        </w:rPr>
      </w:pPr>
      <w:r w:rsidRPr="00977BFA">
        <w:rPr>
          <w:rFonts w:ascii="Times New Roman" w:hAnsi="Times New Roman"/>
          <w:noProof/>
          <w:lang w:eastAsia="cs-CZ" w:bidi="ar-SA"/>
        </w:rPr>
        <w:lastRenderedPageBreak/>
        <w:drawing>
          <wp:inline distT="0" distB="0" distL="0" distR="0">
            <wp:extent cx="5819775" cy="4030345"/>
            <wp:effectExtent l="0" t="0" r="9525" b="825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9775" cy="4030345"/>
                    </a:xfrm>
                    <a:prstGeom prst="rect">
                      <a:avLst/>
                    </a:prstGeom>
                    <a:noFill/>
                    <a:ln>
                      <a:noFill/>
                    </a:ln>
                  </pic:spPr>
                </pic:pic>
              </a:graphicData>
            </a:graphic>
          </wp:inline>
        </w:drawing>
      </w:r>
    </w:p>
    <w:p w:rsidR="00977BFA" w:rsidRDefault="00977BFA" w:rsidP="00383A44">
      <w:pPr>
        <w:pStyle w:val="Standard"/>
        <w:jc w:val="both"/>
        <w:rPr>
          <w:rFonts w:ascii="TimesNewRomanPS-ItalicMT" w:hAnsi="TimesNewRomanPS-ItalicMT" w:cs="TimesNewRomanPS-ItalicMT"/>
          <w:i/>
          <w:iCs/>
          <w:kern w:val="0"/>
          <w:sz w:val="30"/>
          <w:szCs w:val="30"/>
          <w:lang w:bidi="ar-SA"/>
        </w:rPr>
      </w:pPr>
      <w:r>
        <w:rPr>
          <w:rFonts w:ascii="TimesNewRomanPS-ItalicMT" w:hAnsi="TimesNewRomanPS-ItalicMT" w:cs="TimesNewRomanPS-ItalicMT"/>
          <w:i/>
          <w:iCs/>
          <w:kern w:val="0"/>
          <w:sz w:val="30"/>
          <w:szCs w:val="30"/>
          <w:lang w:bidi="ar-SA"/>
        </w:rPr>
        <w:t>Podnikový výlet zaměstnanců firmy Eduard Held po záboru pohraničí</w:t>
      </w:r>
    </w:p>
    <w:p w:rsidR="00977BFA" w:rsidRDefault="00977BFA" w:rsidP="00383A44">
      <w:pPr>
        <w:pStyle w:val="Standard"/>
        <w:jc w:val="both"/>
        <w:rPr>
          <w:rFonts w:ascii="TimesNewRomanPS-ItalicMT" w:hAnsi="TimesNewRomanPS-ItalicMT" w:cs="TimesNewRomanPS-ItalicMT"/>
          <w:i/>
          <w:iCs/>
          <w:kern w:val="0"/>
          <w:sz w:val="30"/>
          <w:szCs w:val="30"/>
          <w:lang w:bidi="ar-SA"/>
        </w:rPr>
      </w:pPr>
    </w:p>
    <w:p w:rsidR="00977BFA" w:rsidRDefault="00977BFA" w:rsidP="00383A44">
      <w:pPr>
        <w:pStyle w:val="Standard"/>
        <w:jc w:val="both"/>
        <w:rPr>
          <w:rFonts w:ascii="Times New Roman" w:hAnsi="Times New Roman"/>
        </w:rPr>
      </w:pPr>
      <w:r w:rsidRPr="00977BFA">
        <w:rPr>
          <w:rFonts w:ascii="Times New Roman" w:hAnsi="Times New Roman"/>
          <w:noProof/>
          <w:lang w:eastAsia="cs-CZ" w:bidi="ar-SA"/>
        </w:rPr>
        <w:drawing>
          <wp:inline distT="0" distB="0" distL="0" distR="0">
            <wp:extent cx="5876732" cy="4460203"/>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80861" cy="4463336"/>
                    </a:xfrm>
                    <a:prstGeom prst="rect">
                      <a:avLst/>
                    </a:prstGeom>
                    <a:noFill/>
                    <a:ln>
                      <a:noFill/>
                    </a:ln>
                  </pic:spPr>
                </pic:pic>
              </a:graphicData>
            </a:graphic>
          </wp:inline>
        </w:drawing>
      </w:r>
    </w:p>
    <w:p w:rsidR="00977BFA" w:rsidRDefault="00977BFA" w:rsidP="00383A44">
      <w:pPr>
        <w:pStyle w:val="Standard"/>
        <w:jc w:val="both"/>
        <w:rPr>
          <w:rFonts w:ascii="TimesNewRomanPS-ItalicMT" w:hAnsi="TimesNewRomanPS-ItalicMT" w:cs="TimesNewRomanPS-ItalicMT"/>
          <w:i/>
          <w:iCs/>
          <w:kern w:val="0"/>
          <w:sz w:val="32"/>
          <w:szCs w:val="32"/>
          <w:lang w:bidi="ar-SA"/>
        </w:rPr>
      </w:pPr>
      <w:r>
        <w:rPr>
          <w:rFonts w:ascii="TimesNewRomanPS-ItalicMT" w:hAnsi="TimesNewRomanPS-ItalicMT" w:cs="TimesNewRomanPS-ItalicMT"/>
          <w:i/>
          <w:iCs/>
          <w:kern w:val="0"/>
          <w:sz w:val="32"/>
          <w:szCs w:val="32"/>
          <w:lang w:bidi="ar-SA"/>
        </w:rPr>
        <w:t>Rodina Weidlichova (zleva otec, dcera, neznámá, matka)</w:t>
      </w:r>
    </w:p>
    <w:p w:rsidR="00977BFA" w:rsidRDefault="00977BFA" w:rsidP="00383A44">
      <w:pPr>
        <w:pStyle w:val="Standard"/>
        <w:jc w:val="both"/>
        <w:rPr>
          <w:rFonts w:ascii="Times New Roman" w:hAnsi="Times New Roman"/>
        </w:rPr>
      </w:pPr>
      <w:r w:rsidRPr="00977BFA">
        <w:rPr>
          <w:rFonts w:ascii="Times New Roman" w:hAnsi="Times New Roman"/>
          <w:noProof/>
          <w:lang w:eastAsia="cs-CZ" w:bidi="ar-SA"/>
        </w:rPr>
        <w:lastRenderedPageBreak/>
        <w:drawing>
          <wp:inline distT="0" distB="0" distL="0" distR="0">
            <wp:extent cx="6120130" cy="3836831"/>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3836831"/>
                    </a:xfrm>
                    <a:prstGeom prst="rect">
                      <a:avLst/>
                    </a:prstGeom>
                    <a:noFill/>
                    <a:ln>
                      <a:noFill/>
                    </a:ln>
                  </pic:spPr>
                </pic:pic>
              </a:graphicData>
            </a:graphic>
          </wp:inline>
        </w:drawing>
      </w:r>
    </w:p>
    <w:p w:rsidR="00977BFA" w:rsidRDefault="00977BFA" w:rsidP="00383A44">
      <w:pPr>
        <w:pStyle w:val="Standard"/>
        <w:jc w:val="both"/>
        <w:rPr>
          <w:rFonts w:ascii="Times New Roman" w:hAnsi="Times New Roman"/>
        </w:rPr>
      </w:pPr>
    </w:p>
    <w:p w:rsidR="00977BFA" w:rsidRDefault="00977BFA" w:rsidP="00383A44">
      <w:pPr>
        <w:pStyle w:val="Standard"/>
        <w:jc w:val="both"/>
        <w:rPr>
          <w:rFonts w:ascii="Times New Roman" w:hAnsi="Times New Roman"/>
        </w:rPr>
      </w:pPr>
      <w:r w:rsidRPr="00977BFA">
        <w:rPr>
          <w:rFonts w:ascii="Times New Roman" w:hAnsi="Times New Roman"/>
          <w:noProof/>
          <w:lang w:eastAsia="cs-CZ" w:bidi="ar-SA"/>
        </w:rPr>
        <w:drawing>
          <wp:inline distT="0" distB="0" distL="0" distR="0">
            <wp:extent cx="6120130" cy="3725016"/>
            <wp:effectExtent l="0" t="0" r="0" b="889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3725016"/>
                    </a:xfrm>
                    <a:prstGeom prst="rect">
                      <a:avLst/>
                    </a:prstGeom>
                    <a:noFill/>
                    <a:ln>
                      <a:noFill/>
                    </a:ln>
                  </pic:spPr>
                </pic:pic>
              </a:graphicData>
            </a:graphic>
          </wp:inline>
        </w:drawing>
      </w:r>
    </w:p>
    <w:p w:rsidR="00977BFA" w:rsidRDefault="00977BFA" w:rsidP="00383A44">
      <w:pPr>
        <w:pStyle w:val="Standard"/>
        <w:jc w:val="both"/>
        <w:rPr>
          <w:rFonts w:ascii="Times New Roman" w:hAnsi="Times New Roman"/>
        </w:rPr>
      </w:pPr>
      <w:r>
        <w:rPr>
          <w:rFonts w:ascii="TimesNewRomanPS-ItalicMT" w:hAnsi="TimesNewRomanPS-ItalicMT" w:cs="TimesNewRomanPS-ItalicMT"/>
          <w:i/>
          <w:iCs/>
          <w:kern w:val="0"/>
          <w:sz w:val="32"/>
          <w:szCs w:val="32"/>
          <w:lang w:bidi="ar-SA"/>
        </w:rPr>
        <w:t>Internační tábor pro sudetské Němce v Liberci</w:t>
      </w:r>
      <w:bookmarkStart w:id="0" w:name="_GoBack"/>
      <w:bookmarkEnd w:id="0"/>
    </w:p>
    <w:sectPr w:rsidR="00977BFA">
      <w:pgSz w:w="11906" w:h="16838"/>
      <w:pgMar w:top="1134" w:right="1134" w:bottom="1134" w:left="1134"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3B71" w:rsidRDefault="00913B71">
      <w:pPr>
        <w:rPr>
          <w:rFonts w:hint="eastAsia"/>
        </w:rPr>
      </w:pPr>
      <w:r>
        <w:separator/>
      </w:r>
    </w:p>
  </w:endnote>
  <w:endnote w:type="continuationSeparator" w:id="0">
    <w:p w:rsidR="00913B71" w:rsidRDefault="00913B71">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0"/>
    <w:family w:val="auto"/>
    <w:pitch w:val="variable"/>
  </w:font>
  <w:font w:name="Times New Roman">
    <w:panose1 w:val="02020603050405020304"/>
    <w:charset w:val="EE"/>
    <w:family w:val="roman"/>
    <w:pitch w:val="variable"/>
    <w:sig w:usb0="E0002EFF" w:usb1="C000785B"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TimesNewRomanPS-ItalicMT">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3B71" w:rsidRDefault="00913B71">
      <w:pPr>
        <w:rPr>
          <w:rFonts w:hint="eastAsia"/>
        </w:rPr>
      </w:pPr>
      <w:r>
        <w:rPr>
          <w:color w:val="000000"/>
        </w:rPr>
        <w:separator/>
      </w:r>
    </w:p>
  </w:footnote>
  <w:footnote w:type="continuationSeparator" w:id="0">
    <w:p w:rsidR="00913B71" w:rsidRDefault="00913B71">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20"/>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
  <w:rsids>
    <w:rsidRoot w:val="00B061DB"/>
    <w:rsid w:val="00383A44"/>
    <w:rsid w:val="00913B71"/>
    <w:rsid w:val="00977BFA"/>
    <w:rsid w:val="00AF43AB"/>
    <w:rsid w:val="00B061DB"/>
    <w:rsid w:val="00D92A4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4C3852"/>
  <w15:docId w15:val="{8EA50FD8-91F5-4D68-819B-2ED65746A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iberation Serif" w:eastAsia="SimSun" w:hAnsi="Liberation Serif" w:cs="Mangal"/>
        <w:kern w:val="3"/>
        <w:sz w:val="24"/>
        <w:szCs w:val="24"/>
        <w:lang w:val="cs-CZ"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eastAsia="Microsoft YaHei" w:hAnsi="Liberation Sans"/>
      <w:sz w:val="28"/>
      <w:szCs w:val="28"/>
    </w:rPr>
  </w:style>
  <w:style w:type="paragraph" w:customStyle="1" w:styleId="Textbody">
    <w:name w:val="Text body"/>
    <w:basedOn w:val="Standard"/>
    <w:pPr>
      <w:spacing w:after="140" w:line="288" w:lineRule="auto"/>
    </w:pPr>
  </w:style>
  <w:style w:type="paragraph" w:styleId="Seznam">
    <w:name w:val="List"/>
    <w:basedOn w:val="Textbody"/>
  </w:style>
  <w:style w:type="paragraph" w:styleId="Titulek">
    <w:name w:val="caption"/>
    <w:basedOn w:val="Standard"/>
    <w:pPr>
      <w:suppressLineNumbers/>
      <w:spacing w:before="120" w:after="120"/>
    </w:pPr>
    <w:rPr>
      <w:i/>
      <w:iCs/>
    </w:rPr>
  </w:style>
  <w:style w:type="paragraph" w:customStyle="1" w:styleId="Index">
    <w:name w:val="Index"/>
    <w:basedOn w:val="Standard"/>
    <w:pPr>
      <w:suppressLineNumber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webSettings" Target="web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11</Pages>
  <Words>858</Words>
  <Characters>5066</Characters>
  <Application>Microsoft Office Word</Application>
  <DocSecurity>0</DocSecurity>
  <Lines>42</Lines>
  <Paragraphs>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Vondrová</dc:creator>
  <cp:lastModifiedBy>Vondrová</cp:lastModifiedBy>
  <cp:revision>4</cp:revision>
  <dcterms:created xsi:type="dcterms:W3CDTF">2019-01-07T10:09:00Z</dcterms:created>
  <dcterms:modified xsi:type="dcterms:W3CDTF">2019-01-07T12:14:00Z</dcterms:modified>
</cp:coreProperties>
</file>